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B2" w:rsidRDefault="002E6971">
      <w:r>
        <w:rPr>
          <w:noProof/>
          <w:lang w:eastAsia="lv-LV"/>
        </w:rPr>
        <w:drawing>
          <wp:inline distT="0" distB="0" distL="0" distR="0" wp14:anchorId="67479490" wp14:editId="7184AFA0">
            <wp:extent cx="2228850" cy="695325"/>
            <wp:effectExtent l="0" t="0" r="0" b="9525"/>
            <wp:docPr id="28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E6971" w:rsidRDefault="002E6971" w:rsidP="002E697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</w:pPr>
      <w:proofErr w:type="spellStart"/>
      <w:r w:rsidRPr="002E6971"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  <w:t>Nordplus</w:t>
      </w:r>
      <w:proofErr w:type="spellEnd"/>
      <w:r w:rsidRPr="002E6971"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  <w:t xml:space="preserve"> </w:t>
      </w:r>
      <w:proofErr w:type="spellStart"/>
      <w:r w:rsidRPr="002E6971"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  <w:t>Higher</w:t>
      </w:r>
      <w:proofErr w:type="spellEnd"/>
      <w:r w:rsidRPr="002E6971"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  <w:t xml:space="preserve"> </w:t>
      </w:r>
      <w:proofErr w:type="spellStart"/>
      <w:r w:rsidRPr="002E6971"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  <w:t>Education</w:t>
      </w:r>
      <w:proofErr w:type="spellEnd"/>
      <w:r w:rsidRPr="002E6971"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  <w:t xml:space="preserve"> </w:t>
      </w:r>
    </w:p>
    <w:p w:rsidR="00D55313" w:rsidRDefault="00D55313" w:rsidP="002E697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lv-LV"/>
        </w:rPr>
      </w:pPr>
    </w:p>
    <w:p w:rsidR="002E6971" w:rsidRDefault="00D55313">
      <w:proofErr w:type="spellStart"/>
      <w:r w:rsidRPr="00D55313">
        <w:rPr>
          <w:b/>
        </w:rPr>
        <w:t>Name</w:t>
      </w:r>
      <w:proofErr w:type="spellEnd"/>
      <w:r w:rsidRPr="00D55313">
        <w:rPr>
          <w:b/>
        </w:rPr>
        <w:t>:</w:t>
      </w:r>
      <w:r>
        <w:t xml:space="preserve"> </w:t>
      </w:r>
      <w:proofErr w:type="spellStart"/>
      <w:r w:rsidRPr="00D55313">
        <w:t>Network</w:t>
      </w:r>
      <w:proofErr w:type="spellEnd"/>
      <w:r w:rsidRPr="00D55313">
        <w:t xml:space="preserve"> </w:t>
      </w:r>
      <w:proofErr w:type="spellStart"/>
      <w:r w:rsidRPr="00D55313">
        <w:t>Circular</w:t>
      </w:r>
      <w:proofErr w:type="spellEnd"/>
      <w:r w:rsidRPr="00D55313">
        <w:t xml:space="preserve"> </w:t>
      </w:r>
      <w:proofErr w:type="spellStart"/>
      <w:r w:rsidRPr="00D55313">
        <w:t>Economy</w:t>
      </w:r>
      <w:proofErr w:type="spellEnd"/>
      <w:r w:rsidRPr="00D55313">
        <w:t xml:space="preserve"> </w:t>
      </w:r>
      <w:proofErr w:type="spellStart"/>
      <w:r w:rsidRPr="00D55313">
        <w:t>Future</w:t>
      </w:r>
      <w:proofErr w:type="spellEnd"/>
    </w:p>
    <w:p w:rsidR="00D55313" w:rsidRDefault="00D55313">
      <w:proofErr w:type="spellStart"/>
      <w:r w:rsidRPr="00D55313">
        <w:rPr>
          <w:b/>
        </w:rPr>
        <w:t>Subject</w:t>
      </w:r>
      <w:proofErr w:type="spellEnd"/>
      <w:r w:rsidRPr="00D55313">
        <w:rPr>
          <w:b/>
        </w:rPr>
        <w:t xml:space="preserve"> </w:t>
      </w:r>
      <w:proofErr w:type="spellStart"/>
      <w:r w:rsidRPr="00D55313">
        <w:rPr>
          <w:b/>
        </w:rPr>
        <w:t>area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(411)</w:t>
      </w:r>
    </w:p>
    <w:p w:rsidR="002E6971" w:rsidRDefault="002E6971">
      <w:pPr>
        <w:rPr>
          <w:rFonts w:ascii="Calibri" w:hAnsi="Calibri"/>
          <w:color w:val="333333"/>
          <w:shd w:val="clear" w:color="auto" w:fill="FFFFFF"/>
        </w:rPr>
      </w:pPr>
      <w:proofErr w:type="spellStart"/>
      <w:r w:rsidRPr="00D55313">
        <w:rPr>
          <w:b/>
        </w:rPr>
        <w:t>Total</w:t>
      </w:r>
      <w:proofErr w:type="spellEnd"/>
      <w:r w:rsidRPr="00D55313">
        <w:rPr>
          <w:b/>
        </w:rPr>
        <w:t xml:space="preserve"> </w:t>
      </w:r>
      <w:proofErr w:type="spellStart"/>
      <w:r w:rsidRPr="00D55313">
        <w:rPr>
          <w:b/>
        </w:rPr>
        <w:t>budget</w:t>
      </w:r>
      <w:proofErr w:type="spellEnd"/>
      <w:r>
        <w:t xml:space="preserve"> </w:t>
      </w:r>
      <w:r>
        <w:rPr>
          <w:rFonts w:ascii="Calibri" w:hAnsi="Calibri"/>
          <w:color w:val="333333"/>
          <w:shd w:val="clear" w:color="auto" w:fill="FFFFFF"/>
        </w:rPr>
        <w:t xml:space="preserve">11800 </w:t>
      </w:r>
      <w:proofErr w:type="spellStart"/>
      <w:r>
        <w:rPr>
          <w:rFonts w:ascii="Calibri" w:hAnsi="Calibri"/>
          <w:color w:val="333333"/>
          <w:shd w:val="clear" w:color="auto" w:fill="FFFFFF"/>
        </w:rPr>
        <w:t>euros</w:t>
      </w:r>
      <w:proofErr w:type="spellEnd"/>
    </w:p>
    <w:p w:rsidR="002E6971" w:rsidRPr="00D55313" w:rsidRDefault="002E6971" w:rsidP="002E6971">
      <w:pPr>
        <w:spacing w:after="0" w:line="360" w:lineRule="auto"/>
        <w:rPr>
          <w:rFonts w:ascii="Calibri" w:hAnsi="Calibri"/>
          <w:b/>
          <w:color w:val="333333"/>
          <w:shd w:val="clear" w:color="auto" w:fill="FFFFFF"/>
        </w:rPr>
      </w:pPr>
      <w:r w:rsidRPr="00D55313">
        <w:rPr>
          <w:rFonts w:ascii="Calibri" w:hAnsi="Calibri"/>
          <w:b/>
          <w:color w:val="333333"/>
          <w:shd w:val="clear" w:color="auto" w:fill="FFFFFF"/>
        </w:rPr>
        <w:t xml:space="preserve">Project </w:t>
      </w:r>
      <w:proofErr w:type="spellStart"/>
      <w:r w:rsidRPr="00D55313">
        <w:rPr>
          <w:rFonts w:ascii="Calibri" w:hAnsi="Calibri"/>
          <w:b/>
          <w:color w:val="333333"/>
          <w:shd w:val="clear" w:color="auto" w:fill="FFFFFF"/>
        </w:rPr>
        <w:t>partner</w:t>
      </w:r>
      <w:proofErr w:type="spellEnd"/>
      <w:r w:rsidRPr="00D55313">
        <w:rPr>
          <w:rFonts w:ascii="Calibri" w:hAnsi="Calibri"/>
          <w:b/>
          <w:color w:val="333333"/>
          <w:shd w:val="clear" w:color="auto" w:fill="FFFFFF"/>
        </w:rPr>
        <w:t>:</w:t>
      </w:r>
    </w:p>
    <w:p w:rsidR="002E6971" w:rsidRDefault="002E6971" w:rsidP="002E6971">
      <w:pPr>
        <w:spacing w:after="0" w:line="360" w:lineRule="auto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color w:val="333333"/>
          <w:shd w:val="clear" w:color="auto" w:fill="FFFFFF"/>
        </w:rPr>
        <w:t xml:space="preserve">LP- </w:t>
      </w:r>
      <w:r w:rsidR="00D55313">
        <w:t xml:space="preserve">Helsinki </w:t>
      </w:r>
      <w:proofErr w:type="spellStart"/>
      <w:r w:rsidR="00D55313">
        <w:t>Metropolia</w:t>
      </w:r>
      <w:proofErr w:type="spellEnd"/>
      <w:r w:rsidR="00D55313">
        <w:t xml:space="preserve"> </w:t>
      </w:r>
      <w:proofErr w:type="spellStart"/>
      <w:r w:rsidR="00D55313">
        <w:t>University</w:t>
      </w:r>
      <w:proofErr w:type="spellEnd"/>
      <w:r w:rsidR="00D55313">
        <w:t xml:space="preserve"> </w:t>
      </w:r>
      <w:proofErr w:type="spellStart"/>
      <w:r w:rsidR="00D55313">
        <w:t>of</w:t>
      </w:r>
      <w:proofErr w:type="spellEnd"/>
      <w:r w:rsidR="00D55313">
        <w:t xml:space="preserve"> </w:t>
      </w:r>
      <w:proofErr w:type="spellStart"/>
      <w:r w:rsidR="00D55313">
        <w:t>Applied</w:t>
      </w:r>
      <w:proofErr w:type="spellEnd"/>
      <w:r w:rsidR="00D55313">
        <w:t xml:space="preserve"> </w:t>
      </w:r>
      <w:proofErr w:type="spellStart"/>
      <w:r w:rsidR="00D55313">
        <w:t>Sciences</w:t>
      </w:r>
      <w:proofErr w:type="spellEnd"/>
      <w:r w:rsidR="00D55313">
        <w:t xml:space="preserve"> </w:t>
      </w:r>
    </w:p>
    <w:p w:rsidR="002E6971" w:rsidRDefault="002E6971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color w:val="333333"/>
          <w:shd w:val="clear" w:color="auto" w:fill="FFFFFF"/>
        </w:rPr>
        <w:t>PP:</w:t>
      </w:r>
    </w:p>
    <w:p w:rsidR="002E6971" w:rsidRDefault="00505B86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  <w:proofErr w:type="spellStart"/>
      <w:r>
        <w:rPr>
          <w:rFonts w:ascii="Calibri" w:hAnsi="Calibri"/>
          <w:color w:val="333333"/>
          <w:shd w:val="clear" w:color="auto" w:fill="FFFFFF"/>
        </w:rPr>
        <w:t>Tallinna</w:t>
      </w:r>
      <w:proofErr w:type="spellEnd"/>
      <w:r>
        <w:rPr>
          <w:rFonts w:ascii="Calibri" w:hAnsi="Calibri"/>
          <w:color w:val="33333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333333"/>
          <w:shd w:val="clear" w:color="auto" w:fill="FFFFFF"/>
        </w:rPr>
        <w:t>Tehnikak</w:t>
      </w:r>
      <w:r w:rsidR="002E6971">
        <w:rPr>
          <w:rFonts w:ascii="Calibri" w:hAnsi="Calibri"/>
          <w:color w:val="333333"/>
          <w:shd w:val="clear" w:color="auto" w:fill="FFFFFF"/>
        </w:rPr>
        <w:t>ōrgkool</w:t>
      </w:r>
      <w:proofErr w:type="spellEnd"/>
      <w:r w:rsidR="002E6971">
        <w:rPr>
          <w:rFonts w:ascii="Calibri" w:hAnsi="Calibri"/>
          <w:color w:val="333333"/>
          <w:shd w:val="clear" w:color="auto" w:fill="FFFFFF"/>
        </w:rPr>
        <w:t>,</w:t>
      </w:r>
    </w:p>
    <w:p w:rsidR="002E6971" w:rsidRDefault="002E6971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color w:val="333333"/>
          <w:shd w:val="clear" w:color="auto" w:fill="FFFFFF"/>
        </w:rPr>
        <w:t>Liepājas universitāte,</w:t>
      </w:r>
    </w:p>
    <w:p w:rsidR="002E6971" w:rsidRDefault="00EF3995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color w:val="333333"/>
          <w:shd w:val="clear" w:color="auto" w:fill="FFFFFF"/>
        </w:rPr>
        <w:t>Vidzemes A</w:t>
      </w:r>
      <w:r w:rsidR="002E6971">
        <w:rPr>
          <w:rFonts w:ascii="Calibri" w:hAnsi="Calibri"/>
          <w:color w:val="333333"/>
          <w:shd w:val="clear" w:color="auto" w:fill="FFFFFF"/>
        </w:rPr>
        <w:t>ugstskola,</w:t>
      </w:r>
    </w:p>
    <w:p w:rsidR="002E6971" w:rsidRDefault="00EF3995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color w:val="333333"/>
          <w:shd w:val="clear" w:color="auto" w:fill="FFFFFF"/>
        </w:rPr>
        <w:t>Kauņas T</w:t>
      </w:r>
      <w:r w:rsidR="002E6971">
        <w:rPr>
          <w:rFonts w:ascii="Calibri" w:hAnsi="Calibri"/>
          <w:color w:val="333333"/>
          <w:shd w:val="clear" w:color="auto" w:fill="FFFFFF"/>
        </w:rPr>
        <w:t>ehnoloģiju universitāte.</w:t>
      </w:r>
    </w:p>
    <w:p w:rsidR="00D55313" w:rsidRDefault="00D55313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</w:p>
    <w:p w:rsidR="002E6971" w:rsidRDefault="002E6971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</w:p>
    <w:p w:rsidR="002E6971" w:rsidRDefault="00D55313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  <w:proofErr w:type="spellStart"/>
      <w:r>
        <w:rPr>
          <w:rFonts w:ascii="Calibri" w:hAnsi="Calibri"/>
          <w:color w:val="333333"/>
          <w:shd w:val="clear" w:color="auto" w:fill="FFFFFF"/>
        </w:rPr>
        <w:t>LiepU</w:t>
      </w:r>
      <w:proofErr w:type="spellEnd"/>
      <w:r>
        <w:rPr>
          <w:rFonts w:ascii="Calibri" w:hAnsi="Calibri"/>
          <w:color w:val="333333"/>
          <w:shd w:val="clear" w:color="auto" w:fill="FFFFFF"/>
        </w:rPr>
        <w:t xml:space="preserve"> </w:t>
      </w:r>
      <w:proofErr w:type="spellStart"/>
      <w:r w:rsidR="00EF3995">
        <w:rPr>
          <w:rFonts w:ascii="Calibri" w:hAnsi="Calibri"/>
          <w:color w:val="333333"/>
          <w:shd w:val="clear" w:color="auto" w:fill="FFFFFF"/>
        </w:rPr>
        <w:t>coordinator</w:t>
      </w:r>
      <w:proofErr w:type="spellEnd"/>
      <w:r>
        <w:rPr>
          <w:rFonts w:ascii="Calibri" w:hAnsi="Calibri"/>
          <w:color w:val="333333"/>
          <w:shd w:val="clear" w:color="auto" w:fill="FFFFFF"/>
        </w:rPr>
        <w:t xml:space="preserve"> – Lilita Ābele</w:t>
      </w:r>
    </w:p>
    <w:p w:rsidR="00AE0C62" w:rsidRDefault="00AE0C62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</w:p>
    <w:p w:rsidR="00AE0C62" w:rsidRDefault="00EF3995" w:rsidP="00AE0C62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First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meeting</w:t>
      </w:r>
      <w:proofErr w:type="spellEnd"/>
      <w:r w:rsidR="00AE0C62">
        <w:rPr>
          <w:rFonts w:ascii="Arial" w:hAnsi="Arial" w:cs="Arial"/>
          <w:color w:val="000000"/>
          <w:sz w:val="22"/>
          <w:szCs w:val="22"/>
        </w:rPr>
        <w:t>:</w:t>
      </w:r>
    </w:p>
    <w:p w:rsidR="00AE0C62" w:rsidRDefault="00AE0C62" w:rsidP="00AE0C62">
      <w:pPr>
        <w:pStyle w:val="Paraststmeklis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Network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Circular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Economy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Future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seminar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14th - 15th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November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:rsidR="00AE0C62" w:rsidRDefault="00AE0C62" w:rsidP="00AE0C62">
      <w:pPr>
        <w:pStyle w:val="Paraststmeklis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Le</w:t>
      </w:r>
      <w:r w:rsidR="00EF3995">
        <w:rPr>
          <w:rFonts w:ascii="Arial" w:hAnsi="Arial" w:cs="Arial"/>
          <w:color w:val="000000"/>
          <w:sz w:val="22"/>
          <w:szCs w:val="22"/>
        </w:rPr>
        <w:t>iritie</w:t>
      </w:r>
      <w:proofErr w:type="spellEnd"/>
      <w:r w:rsidR="00EF3995">
        <w:rPr>
          <w:rFonts w:ascii="Arial" w:hAnsi="Arial" w:cs="Arial"/>
          <w:color w:val="000000"/>
          <w:sz w:val="22"/>
          <w:szCs w:val="22"/>
        </w:rPr>
        <w:t xml:space="preserve"> 1, 01600 </w:t>
      </w:r>
      <w:proofErr w:type="spellStart"/>
      <w:r w:rsidR="00EF3995">
        <w:rPr>
          <w:rFonts w:ascii="Arial" w:hAnsi="Arial" w:cs="Arial"/>
          <w:color w:val="000000"/>
          <w:sz w:val="22"/>
          <w:szCs w:val="22"/>
        </w:rPr>
        <w:t>Vantaa</w:t>
      </w:r>
      <w:proofErr w:type="spellEnd"/>
      <w:r w:rsidR="00EF399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EF3995">
        <w:rPr>
          <w:rFonts w:ascii="Arial" w:hAnsi="Arial" w:cs="Arial"/>
          <w:color w:val="000000"/>
          <w:sz w:val="22"/>
          <w:szCs w:val="22"/>
        </w:rPr>
        <w:t>Finland</w:t>
      </w:r>
      <w:proofErr w:type="spellEnd"/>
      <w:r w:rsidR="00EF3995">
        <w:rPr>
          <w:rFonts w:ascii="Arial" w:hAnsi="Arial" w:cs="Arial"/>
          <w:color w:val="000000"/>
          <w:sz w:val="22"/>
          <w:szCs w:val="22"/>
        </w:rPr>
        <w:t>.</w:t>
      </w:r>
    </w:p>
    <w:p w:rsidR="00AE0C62" w:rsidRDefault="00AE0C62" w:rsidP="002E6971">
      <w:pPr>
        <w:spacing w:after="0" w:line="240" w:lineRule="auto"/>
        <w:rPr>
          <w:rFonts w:ascii="Calibri" w:hAnsi="Calibri"/>
          <w:color w:val="333333"/>
          <w:shd w:val="clear" w:color="auto" w:fill="FFFFFF"/>
        </w:rPr>
      </w:pPr>
    </w:p>
    <w:p w:rsidR="00D55313" w:rsidRPr="00D55313" w:rsidRDefault="00D55313" w:rsidP="002E6971">
      <w:pPr>
        <w:spacing w:after="0" w:line="240" w:lineRule="auto"/>
        <w:rPr>
          <w:b/>
        </w:rPr>
      </w:pPr>
      <w:proofErr w:type="spellStart"/>
      <w:r w:rsidRPr="00D55313">
        <w:rPr>
          <w:b/>
        </w:rPr>
        <w:t>Summary</w:t>
      </w:r>
      <w:proofErr w:type="spellEnd"/>
      <w:r w:rsidRPr="00D55313">
        <w:rPr>
          <w:b/>
        </w:rPr>
        <w:t xml:space="preserve"> </w:t>
      </w:r>
    </w:p>
    <w:p w:rsidR="00D55313" w:rsidRDefault="00D55313" w:rsidP="00D55313">
      <w:pPr>
        <w:spacing w:after="0" w:line="240" w:lineRule="auto"/>
        <w:jc w:val="both"/>
      </w:pPr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/2016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strengthens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to </w:t>
      </w:r>
      <w:proofErr w:type="spellStart"/>
      <w:r>
        <w:t>educate</w:t>
      </w:r>
      <w:proofErr w:type="spellEnd"/>
      <w:r>
        <w:t>/</w:t>
      </w:r>
      <w:proofErr w:type="spellStart"/>
      <w:r>
        <w:t>nurture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paradigm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shifting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“</w:t>
      </w:r>
      <w:proofErr w:type="spellStart"/>
      <w:r>
        <w:t>take-make-consume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” </w:t>
      </w:r>
      <w:proofErr w:type="spellStart"/>
      <w:r>
        <w:t>lifestyle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full-use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resource.The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it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mindsets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HEIs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frontline</w:t>
      </w:r>
      <w:proofErr w:type="spellEnd"/>
      <w:r>
        <w:t xml:space="preserve"> to </w:t>
      </w:r>
      <w:proofErr w:type="spellStart"/>
      <w:r>
        <w:t>educate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nurture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shifting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.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to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co-design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pedagogy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curricula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HEIs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curricula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transferable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process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  <w:proofErr w:type="spellStart"/>
      <w:r>
        <w:t>Hence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horizon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HEI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.</w:t>
      </w:r>
    </w:p>
    <w:p w:rsidR="00D55313" w:rsidRDefault="00D55313" w:rsidP="00D55313">
      <w:pPr>
        <w:spacing w:after="0" w:line="240" w:lineRule="auto"/>
        <w:jc w:val="both"/>
      </w:pPr>
    </w:p>
    <w:p w:rsidR="00D55313" w:rsidRDefault="00D55313" w:rsidP="00D55313">
      <w:pPr>
        <w:spacing w:after="0" w:line="240" w:lineRule="auto"/>
        <w:jc w:val="both"/>
      </w:pPr>
      <w:proofErr w:type="spellStart"/>
      <w:r w:rsidRPr="00D55313">
        <w:rPr>
          <w:b/>
        </w:rPr>
        <w:t>Partners</w:t>
      </w:r>
      <w:proofErr w:type="spellEnd"/>
      <w:r>
        <w:t xml:space="preserve"> </w:t>
      </w:r>
    </w:p>
    <w:p w:rsidR="00D55313" w:rsidRDefault="00D55313" w:rsidP="00D55313">
      <w:pPr>
        <w:spacing w:after="0" w:line="240" w:lineRule="auto"/>
        <w:jc w:val="both"/>
      </w:pPr>
      <w:proofErr w:type="spellStart"/>
      <w:r>
        <w:t>Metropolia</w:t>
      </w:r>
      <w:proofErr w:type="spellEnd"/>
      <w:r>
        <w:t xml:space="preserve">: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Metropolia’s</w:t>
      </w:r>
      <w:proofErr w:type="spellEnd"/>
      <w:r>
        <w:t xml:space="preserve"> RDI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Metropolia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HUB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Metropolia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lastRenderedPageBreak/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10 ECTS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students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. </w:t>
      </w:r>
    </w:p>
    <w:p w:rsidR="00D55313" w:rsidRDefault="00D55313" w:rsidP="00D55313">
      <w:pPr>
        <w:spacing w:after="0" w:line="240" w:lineRule="auto"/>
        <w:jc w:val="both"/>
      </w:pPr>
      <w:proofErr w:type="spellStart"/>
      <w:r>
        <w:t>Tallinna</w:t>
      </w:r>
      <w:proofErr w:type="spellEnd"/>
      <w:r>
        <w:t xml:space="preserve"> </w:t>
      </w:r>
      <w:proofErr w:type="spellStart"/>
      <w:r>
        <w:t>Tehnikakõrgkool</w:t>
      </w:r>
      <w:proofErr w:type="spellEnd"/>
      <w:r>
        <w:t xml:space="preserve"> (TTK UAS):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Estonian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. </w:t>
      </w:r>
      <w:proofErr w:type="spellStart"/>
      <w:r>
        <w:t>Techno-ecology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(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waste</w:t>
      </w:r>
      <w:proofErr w:type="spellEnd"/>
      <w:r>
        <w:t xml:space="preserve">) </w:t>
      </w:r>
      <w:proofErr w:type="spellStart"/>
      <w:r>
        <w:t>management</w:t>
      </w:r>
      <w:proofErr w:type="spellEnd"/>
      <w:r>
        <w:t xml:space="preserve">. </w:t>
      </w:r>
    </w:p>
    <w:p w:rsidR="00D55313" w:rsidRDefault="00D55313" w:rsidP="00D55313">
      <w:pPr>
        <w:spacing w:after="0" w:line="240" w:lineRule="auto"/>
        <w:jc w:val="both"/>
      </w:pPr>
      <w:proofErr w:type="spellStart"/>
      <w:r w:rsidRPr="00D55313">
        <w:rPr>
          <w:b/>
        </w:rPr>
        <w:t>Liepaja</w:t>
      </w:r>
      <w:proofErr w:type="spellEnd"/>
      <w:r w:rsidRPr="00D55313">
        <w:rPr>
          <w:b/>
        </w:rPr>
        <w:t xml:space="preserve"> </w:t>
      </w:r>
      <w:proofErr w:type="spellStart"/>
      <w:r w:rsidRPr="00D55313">
        <w:rPr>
          <w:b/>
        </w:rPr>
        <w:t>University</w:t>
      </w:r>
      <w:proofErr w:type="spellEnd"/>
      <w:r w:rsidRPr="00D55313">
        <w:rPr>
          <w:b/>
        </w:rPr>
        <w:t>:</w:t>
      </w:r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pedagogy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ecotechnology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</w:p>
    <w:p w:rsidR="00D55313" w:rsidRDefault="00D55313" w:rsidP="00D55313">
      <w:pPr>
        <w:spacing w:after="0" w:line="240" w:lineRule="auto"/>
        <w:jc w:val="both"/>
      </w:pPr>
      <w:r>
        <w:t xml:space="preserve">Vidzeme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: </w:t>
      </w:r>
      <w:proofErr w:type="spellStart"/>
      <w:r>
        <w:t>ViA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 NPHE-2016/10249 </w:t>
      </w:r>
      <w:proofErr w:type="spellStart"/>
      <w:r>
        <w:t>Page</w:t>
      </w:r>
      <w:proofErr w:type="spellEnd"/>
      <w:r>
        <w:t xml:space="preserve"> 4 (7) </w:t>
      </w:r>
      <w:proofErr w:type="spellStart"/>
      <w:r>
        <w:t>Submitted</w:t>
      </w:r>
      <w:proofErr w:type="spellEnd"/>
      <w:r>
        <w:t xml:space="preserve"> - 01-Mar-2016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. </w:t>
      </w:r>
      <w:proofErr w:type="spellStart"/>
      <w:r>
        <w:t>ViA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Vidzeme </w:t>
      </w:r>
      <w:proofErr w:type="spellStart"/>
      <w:r>
        <w:t>Region</w:t>
      </w:r>
      <w:proofErr w:type="spellEnd"/>
      <w:r>
        <w:t xml:space="preserve">. </w:t>
      </w:r>
    </w:p>
    <w:p w:rsidR="00D55313" w:rsidRDefault="00D55313" w:rsidP="00D55313">
      <w:pPr>
        <w:spacing w:after="0" w:line="240" w:lineRule="auto"/>
        <w:jc w:val="both"/>
      </w:pPr>
      <w:r>
        <w:t xml:space="preserve">Kaunas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: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polluted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(</w:t>
      </w:r>
      <w:proofErr w:type="spellStart"/>
      <w:r>
        <w:t>air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),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: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;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;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>.</w:t>
      </w:r>
    </w:p>
    <w:p w:rsidR="00D55313" w:rsidRDefault="00D55313" w:rsidP="00D55313">
      <w:pPr>
        <w:spacing w:after="0" w:line="240" w:lineRule="auto"/>
        <w:jc w:val="both"/>
      </w:pPr>
    </w:p>
    <w:p w:rsidR="00D55313" w:rsidRDefault="00D55313" w:rsidP="00D55313">
      <w:pPr>
        <w:spacing w:after="0" w:line="240" w:lineRule="auto"/>
        <w:jc w:val="both"/>
      </w:pPr>
      <w:proofErr w:type="spellStart"/>
      <w:r w:rsidRPr="00D55313">
        <w:rPr>
          <w:b/>
        </w:rPr>
        <w:t>The</w:t>
      </w:r>
      <w:proofErr w:type="spellEnd"/>
      <w:r w:rsidRPr="00D55313">
        <w:rPr>
          <w:b/>
        </w:rPr>
        <w:t xml:space="preserve"> </w:t>
      </w:r>
      <w:proofErr w:type="spellStart"/>
      <w:r w:rsidRPr="00D55313">
        <w:rPr>
          <w:b/>
        </w:rPr>
        <w:t>aims</w:t>
      </w:r>
      <w:proofErr w:type="spellEnd"/>
      <w:r>
        <w:t xml:space="preserve"> </w:t>
      </w:r>
    </w:p>
    <w:p w:rsidR="00D55313" w:rsidRDefault="00D55313" w:rsidP="00D55313">
      <w:pPr>
        <w:spacing w:after="0" w:line="240" w:lineRule="auto"/>
        <w:jc w:val="both"/>
      </w:pPr>
      <w:proofErr w:type="spellStart"/>
      <w:r>
        <w:t>Establishment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HEIs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Nordplus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contacting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Scandinavian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.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didactics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-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pedagogy</w:t>
      </w:r>
      <w:proofErr w:type="spellEnd"/>
      <w:r>
        <w:t xml:space="preserve">, </w:t>
      </w:r>
      <w:proofErr w:type="spellStart"/>
      <w:r>
        <w:t>Outlining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MOOC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  <w:proofErr w:type="spellStart"/>
      <w:r>
        <w:t>Agreement</w:t>
      </w:r>
      <w:proofErr w:type="spellEnd"/>
      <w:r>
        <w:t xml:space="preserve"> to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3rd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2017.</w:t>
      </w:r>
    </w:p>
    <w:p w:rsidR="00AE0C62" w:rsidRDefault="00AE0C62" w:rsidP="00D55313">
      <w:pPr>
        <w:spacing w:after="0" w:line="24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two-day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2016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2017.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on-line</w:t>
      </w:r>
      <w:proofErr w:type="spellEnd"/>
      <w:r>
        <w:t xml:space="preserve"> </w:t>
      </w:r>
      <w:proofErr w:type="spellStart"/>
      <w:r>
        <w:t>follow-up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August</w:t>
      </w:r>
      <w:proofErr w:type="spellEnd"/>
      <w:r>
        <w:t xml:space="preserve"> 2016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2016.</w:t>
      </w:r>
    </w:p>
    <w:p w:rsidR="00EF3995" w:rsidRDefault="00EF3995" w:rsidP="00D55313">
      <w:pPr>
        <w:spacing w:after="0" w:line="240" w:lineRule="auto"/>
        <w:jc w:val="both"/>
      </w:pPr>
    </w:p>
    <w:p w:rsidR="00EF3995" w:rsidRDefault="00EF3995" w:rsidP="00D55313">
      <w:pPr>
        <w:spacing w:after="0" w:line="240" w:lineRule="auto"/>
        <w:jc w:val="both"/>
      </w:pPr>
    </w:p>
    <w:p w:rsidR="00EF3995" w:rsidRDefault="00EF3995">
      <w:r>
        <w:br w:type="page"/>
      </w:r>
    </w:p>
    <w:p w:rsidR="00EF3995" w:rsidRDefault="00EF3995" w:rsidP="00D55313">
      <w:pPr>
        <w:spacing w:after="0" w:line="240" w:lineRule="auto"/>
        <w:jc w:val="both"/>
      </w:pPr>
      <w:r>
        <w:lastRenderedPageBreak/>
        <w:t xml:space="preserve">First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Helsinki </w:t>
      </w:r>
    </w:p>
    <w:p w:rsidR="00EF3995" w:rsidRDefault="00EF3995" w:rsidP="00EF3995">
      <w:pPr>
        <w:pStyle w:val="Paraststmeklis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Network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Circular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Economy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Future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seminar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14th - 15th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November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2016</w:t>
      </w:r>
    </w:p>
    <w:p w:rsidR="00AE0C62" w:rsidRDefault="00EF3995" w:rsidP="00EF3995">
      <w:pPr>
        <w:spacing w:after="0" w:line="240" w:lineRule="auto"/>
        <w:jc w:val="both"/>
      </w:pPr>
      <w:proofErr w:type="spellStart"/>
      <w:r>
        <w:rPr>
          <w:rFonts w:ascii="Arial" w:hAnsi="Arial" w:cs="Arial"/>
          <w:color w:val="000000"/>
        </w:rPr>
        <w:t>Leiritie</w:t>
      </w:r>
      <w:proofErr w:type="spellEnd"/>
      <w:r>
        <w:rPr>
          <w:rFonts w:ascii="Arial" w:hAnsi="Arial" w:cs="Arial"/>
          <w:color w:val="000000"/>
        </w:rPr>
        <w:t xml:space="preserve"> 1, 01600 </w:t>
      </w:r>
      <w:proofErr w:type="spellStart"/>
      <w:r>
        <w:rPr>
          <w:rFonts w:ascii="Arial" w:hAnsi="Arial" w:cs="Arial"/>
          <w:color w:val="000000"/>
        </w:rPr>
        <w:t>Vantaa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Finland</w:t>
      </w:r>
      <w:proofErr w:type="spellEnd"/>
    </w:p>
    <w:p w:rsidR="00AE0C62" w:rsidRDefault="00AE0C62" w:rsidP="00D55313">
      <w:pPr>
        <w:spacing w:after="0" w:line="240" w:lineRule="auto"/>
        <w:jc w:val="both"/>
      </w:pPr>
    </w:p>
    <w:p w:rsidR="00EF3995" w:rsidRDefault="00EF3995" w:rsidP="00D55313">
      <w:pPr>
        <w:spacing w:after="0" w:line="240" w:lineRule="auto"/>
        <w:jc w:val="both"/>
      </w:pPr>
    </w:p>
    <w:p w:rsidR="00AE0C62" w:rsidRDefault="00EF3995" w:rsidP="00D55313">
      <w:pPr>
        <w:spacing w:after="0" w:line="240" w:lineRule="auto"/>
        <w:jc w:val="both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noProof/>
          <w:color w:val="333333"/>
          <w:shd w:val="clear" w:color="auto" w:fill="FFFFFF"/>
          <w:lang w:eastAsia="lv-LV"/>
        </w:rPr>
        <w:drawing>
          <wp:inline distT="0" distB="0" distL="0" distR="0">
            <wp:extent cx="4917017" cy="3687763"/>
            <wp:effectExtent l="0" t="0" r="0" b="8255"/>
            <wp:docPr id="4" name="Attēls 4" descr="C:\Users\Lietotajs\Downloads\Team working 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etotajs\Downloads\Team working T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965" cy="368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95" w:rsidRDefault="00EF3995" w:rsidP="00D55313">
      <w:pPr>
        <w:spacing w:after="0" w:line="240" w:lineRule="auto"/>
        <w:jc w:val="both"/>
        <w:rPr>
          <w:rFonts w:ascii="Calibri" w:hAnsi="Calibri"/>
          <w:color w:val="333333"/>
          <w:shd w:val="clear" w:color="auto" w:fill="FFFFFF"/>
        </w:rPr>
      </w:pPr>
    </w:p>
    <w:p w:rsidR="00EF3995" w:rsidRDefault="00EF3995" w:rsidP="00D55313">
      <w:pPr>
        <w:spacing w:after="0" w:line="240" w:lineRule="auto"/>
        <w:jc w:val="both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noProof/>
          <w:color w:val="333333"/>
          <w:shd w:val="clear" w:color="auto" w:fill="FFFFFF"/>
          <w:lang w:eastAsia="lv-LV"/>
        </w:rPr>
        <w:drawing>
          <wp:inline distT="0" distB="0" distL="0" distR="0">
            <wp:extent cx="4914900" cy="3686176"/>
            <wp:effectExtent l="0" t="0" r="0" b="9525"/>
            <wp:docPr id="5" name="Attēls 5" descr="C:\Users\Lietotajs\Downloads\Teamworking 1 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etotajs\Downloads\Teamworking 1 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97" cy="368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995" w:rsidRDefault="00EF3995" w:rsidP="00D55313">
      <w:pPr>
        <w:spacing w:after="0" w:line="240" w:lineRule="auto"/>
        <w:jc w:val="both"/>
        <w:rPr>
          <w:rFonts w:ascii="Calibri" w:hAnsi="Calibri"/>
          <w:color w:val="333333"/>
          <w:shd w:val="clear" w:color="auto" w:fill="FFFFFF"/>
        </w:rPr>
      </w:pPr>
    </w:p>
    <w:p w:rsidR="00EF3995" w:rsidRPr="002E6971" w:rsidRDefault="00EF3995" w:rsidP="00D55313">
      <w:pPr>
        <w:spacing w:after="0" w:line="240" w:lineRule="auto"/>
        <w:jc w:val="both"/>
        <w:rPr>
          <w:rFonts w:ascii="Calibri" w:hAnsi="Calibri"/>
          <w:color w:val="333333"/>
          <w:shd w:val="clear" w:color="auto" w:fill="FFFFFF"/>
        </w:rPr>
      </w:pPr>
      <w:r>
        <w:rPr>
          <w:rFonts w:ascii="Calibri" w:hAnsi="Calibri"/>
          <w:noProof/>
          <w:color w:val="333333"/>
          <w:shd w:val="clear" w:color="auto" w:fill="FFFFFF"/>
          <w:lang w:eastAsia="lv-LV"/>
        </w:rPr>
        <w:lastRenderedPageBreak/>
        <w:drawing>
          <wp:inline distT="0" distB="0" distL="0" distR="0">
            <wp:extent cx="4610100" cy="3457575"/>
            <wp:effectExtent l="0" t="0" r="0" b="9525"/>
            <wp:docPr id="6" name="Attēls 6" descr="C:\Users\Lietotajs\Downloads\Teamworking 2 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etotajs\Downloads\Teamworking 2 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75" cy="346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995" w:rsidRPr="002E6971" w:rsidSect="00EF3995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71"/>
    <w:rsid w:val="002D30B2"/>
    <w:rsid w:val="002E6971"/>
    <w:rsid w:val="00505B86"/>
    <w:rsid w:val="00AE0C62"/>
    <w:rsid w:val="00D55313"/>
    <w:rsid w:val="00E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97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E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697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E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 II</dc:creator>
  <cp:lastModifiedBy>Lietotajs</cp:lastModifiedBy>
  <cp:revision>2</cp:revision>
  <dcterms:created xsi:type="dcterms:W3CDTF">2017-01-03T15:31:00Z</dcterms:created>
  <dcterms:modified xsi:type="dcterms:W3CDTF">2017-01-03T15:31:00Z</dcterms:modified>
</cp:coreProperties>
</file>